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1910B" w14:textId="3BA6A28A" w:rsidR="009B4121" w:rsidRPr="00DD149F" w:rsidRDefault="009B4121" w:rsidP="00DD149F">
      <w:pPr>
        <w:pStyle w:val="Heading2"/>
        <w:spacing w:after="240"/>
      </w:pPr>
      <w:r w:rsidRPr="009B4121">
        <w:t xml:space="preserve">NSW Spectacles </w:t>
      </w:r>
      <w:r w:rsidR="00DD149F">
        <w:t>Program – Information Sheet</w:t>
      </w:r>
    </w:p>
    <w:p w14:paraId="62A76AB0" w14:textId="7260408F" w:rsidR="009B4121" w:rsidRPr="009B4121" w:rsidRDefault="009B4121" w:rsidP="00DD149F">
      <w:pPr>
        <w:spacing w:after="240"/>
        <w:rPr>
          <w:rFonts w:cs="Arial"/>
          <w:sz w:val="24"/>
        </w:rPr>
      </w:pPr>
      <w:r w:rsidRPr="009B4121">
        <w:rPr>
          <w:rFonts w:cs="Arial"/>
          <w:sz w:val="24"/>
        </w:rPr>
        <w:t>The NSW Spectacles Program funds free glasses and optical aids to financially disadvantaged residents of NSW. Funded by the NSW Department of Family and Community Services and administered by Vision Australia, the Program provides funding to participating optometrists and optical dispensers (providers) to supply optical aids to eligible applicants free of charge. The Program’s aim is to improve vision and avoid preventable decline in eye health.</w:t>
      </w:r>
    </w:p>
    <w:p w14:paraId="6806D98D" w14:textId="7199B4D1" w:rsidR="009B4121" w:rsidRPr="00DD149F" w:rsidRDefault="009B4121" w:rsidP="00DD149F">
      <w:pPr>
        <w:pStyle w:val="Heading3"/>
        <w:rPr>
          <w:sz w:val="44"/>
          <w:szCs w:val="26"/>
        </w:rPr>
      </w:pPr>
      <w:r w:rsidRPr="009B4121">
        <w:t>Who is eligible for this Program?</w:t>
      </w:r>
    </w:p>
    <w:p w14:paraId="1AEEF64B" w14:textId="77777777" w:rsidR="009B4121" w:rsidRPr="009B4121" w:rsidRDefault="009B4121" w:rsidP="00DD149F">
      <w:pPr>
        <w:spacing w:after="240"/>
        <w:rPr>
          <w:rFonts w:cs="Arial"/>
          <w:sz w:val="24"/>
        </w:rPr>
      </w:pPr>
      <w:r w:rsidRPr="009B4121">
        <w:rPr>
          <w:rFonts w:cs="Arial"/>
          <w:sz w:val="24"/>
        </w:rPr>
        <w:t>The Program is available to people who meet the following requirements:</w:t>
      </w:r>
    </w:p>
    <w:tbl>
      <w:tblPr>
        <w:tblStyle w:val="NousTable"/>
        <w:tblW w:w="0" w:type="auto"/>
        <w:tblBorders>
          <w:insideH w:val="single" w:sz="4" w:space="0" w:color="1F497D" w:themeColor="text2"/>
          <w:insideV w:val="single" w:sz="4" w:space="0" w:color="1F497D" w:themeColor="text2"/>
        </w:tblBorders>
        <w:tblLook w:val="0400" w:firstRow="0" w:lastRow="0" w:firstColumn="0" w:lastColumn="0" w:noHBand="0" w:noVBand="1"/>
      </w:tblPr>
      <w:tblGrid>
        <w:gridCol w:w="1475"/>
        <w:gridCol w:w="7596"/>
      </w:tblGrid>
      <w:tr w:rsidR="009B4121" w:rsidRPr="009B4121" w14:paraId="372861FD" w14:textId="77777777" w:rsidTr="007059AF">
        <w:tc>
          <w:tcPr>
            <w:tcW w:w="1475" w:type="dxa"/>
            <w:shd w:val="clear" w:color="auto" w:fill="auto"/>
          </w:tcPr>
          <w:p w14:paraId="5C6B523E" w14:textId="77777777" w:rsidR="009B4121" w:rsidRPr="009B4121" w:rsidRDefault="009B4121" w:rsidP="00DD149F">
            <w:pPr>
              <w:rPr>
                <w:rFonts w:cs="Arial"/>
                <w:b/>
                <w:sz w:val="24"/>
                <w:szCs w:val="24"/>
              </w:rPr>
            </w:pPr>
            <w:r w:rsidRPr="009B4121">
              <w:rPr>
                <w:rFonts w:cs="Arial"/>
                <w:b/>
                <w:sz w:val="24"/>
                <w:szCs w:val="24"/>
              </w:rPr>
              <w:t>Residency</w:t>
            </w:r>
          </w:p>
        </w:tc>
        <w:tc>
          <w:tcPr>
            <w:tcW w:w="7596" w:type="dxa"/>
          </w:tcPr>
          <w:p w14:paraId="1C3EFACE" w14:textId="77777777" w:rsidR="009B4121" w:rsidRPr="009B4121" w:rsidRDefault="009B4121" w:rsidP="00DD149F">
            <w:pPr>
              <w:rPr>
                <w:rFonts w:cs="Arial"/>
                <w:sz w:val="24"/>
                <w:szCs w:val="24"/>
              </w:rPr>
            </w:pPr>
            <w:r w:rsidRPr="009B4121">
              <w:rPr>
                <w:rFonts w:cs="Arial"/>
                <w:sz w:val="24"/>
                <w:szCs w:val="24"/>
              </w:rPr>
              <w:t>Are an Australian resident living permanently in NSW</w:t>
            </w:r>
          </w:p>
        </w:tc>
      </w:tr>
      <w:tr w:rsidR="009B4121" w:rsidRPr="009B4121" w14:paraId="3A5A4FD1" w14:textId="77777777" w:rsidTr="007059AF">
        <w:tc>
          <w:tcPr>
            <w:tcW w:w="1475" w:type="dxa"/>
            <w:shd w:val="clear" w:color="auto" w:fill="auto"/>
          </w:tcPr>
          <w:p w14:paraId="234406BF" w14:textId="77777777" w:rsidR="009B4121" w:rsidRPr="009B4121" w:rsidRDefault="009B4121" w:rsidP="00DD149F">
            <w:pPr>
              <w:rPr>
                <w:rFonts w:cs="Arial"/>
                <w:b/>
                <w:sz w:val="24"/>
                <w:szCs w:val="24"/>
              </w:rPr>
            </w:pPr>
            <w:r w:rsidRPr="009B4121">
              <w:rPr>
                <w:rFonts w:cs="Arial"/>
                <w:b/>
                <w:sz w:val="24"/>
                <w:szCs w:val="24"/>
              </w:rPr>
              <w:t>Assets</w:t>
            </w:r>
          </w:p>
        </w:tc>
        <w:tc>
          <w:tcPr>
            <w:tcW w:w="7596" w:type="dxa"/>
          </w:tcPr>
          <w:p w14:paraId="03C38D14" w14:textId="77777777" w:rsidR="009B4121" w:rsidRPr="009B4121" w:rsidRDefault="009B4121" w:rsidP="00DD149F">
            <w:pPr>
              <w:rPr>
                <w:rFonts w:cs="Arial"/>
                <w:sz w:val="24"/>
                <w:szCs w:val="24"/>
              </w:rPr>
            </w:pPr>
            <w:r w:rsidRPr="009B4121">
              <w:rPr>
                <w:rFonts w:cs="Arial"/>
                <w:sz w:val="24"/>
                <w:szCs w:val="24"/>
              </w:rPr>
              <w:t>Have less than $500 of total assets (if single)</w:t>
            </w:r>
          </w:p>
          <w:p w14:paraId="0007FAE2" w14:textId="77777777" w:rsidR="009B4121" w:rsidRPr="009B4121" w:rsidRDefault="009B4121" w:rsidP="00DD149F">
            <w:pPr>
              <w:rPr>
                <w:rFonts w:cs="Arial"/>
                <w:sz w:val="24"/>
                <w:szCs w:val="24"/>
              </w:rPr>
            </w:pPr>
            <w:r w:rsidRPr="009B4121">
              <w:rPr>
                <w:rFonts w:cs="Arial"/>
                <w:sz w:val="24"/>
                <w:szCs w:val="24"/>
              </w:rPr>
              <w:t>OR</w:t>
            </w:r>
          </w:p>
          <w:p w14:paraId="4D304F92" w14:textId="77777777" w:rsidR="009B4121" w:rsidRPr="009B4121" w:rsidRDefault="009B4121" w:rsidP="00DD149F">
            <w:pPr>
              <w:rPr>
                <w:rFonts w:cs="Arial"/>
                <w:sz w:val="24"/>
                <w:szCs w:val="24"/>
              </w:rPr>
            </w:pPr>
            <w:r w:rsidRPr="009B4121">
              <w:rPr>
                <w:rFonts w:cs="Arial"/>
                <w:sz w:val="24"/>
                <w:szCs w:val="24"/>
              </w:rPr>
              <w:t>Have less than $1,000 in total family assets (if partnered or a single parent)</w:t>
            </w:r>
          </w:p>
          <w:p w14:paraId="516978F8" w14:textId="77777777" w:rsidR="009B4121" w:rsidRPr="009B4121" w:rsidRDefault="009B4121" w:rsidP="00DD149F">
            <w:pPr>
              <w:rPr>
                <w:rFonts w:cs="Arial"/>
                <w:sz w:val="24"/>
                <w:szCs w:val="24"/>
              </w:rPr>
            </w:pPr>
          </w:p>
          <w:p w14:paraId="56529CE8" w14:textId="77777777" w:rsidR="009B4121" w:rsidRPr="009B4121" w:rsidRDefault="009B4121" w:rsidP="00DD149F">
            <w:pPr>
              <w:rPr>
                <w:rFonts w:cs="Arial"/>
                <w:sz w:val="24"/>
                <w:szCs w:val="24"/>
              </w:rPr>
            </w:pPr>
            <w:r w:rsidRPr="009B4121">
              <w:rPr>
                <w:rFonts w:cs="Arial"/>
                <w:sz w:val="24"/>
                <w:szCs w:val="24"/>
              </w:rPr>
              <w:t>Household and motor vehicle are not included in these asset restrictions</w:t>
            </w:r>
          </w:p>
        </w:tc>
      </w:tr>
      <w:tr w:rsidR="009B4121" w:rsidRPr="009B4121" w14:paraId="6FCF3497" w14:textId="77777777" w:rsidTr="007059AF">
        <w:tc>
          <w:tcPr>
            <w:tcW w:w="1475" w:type="dxa"/>
            <w:shd w:val="clear" w:color="auto" w:fill="auto"/>
          </w:tcPr>
          <w:p w14:paraId="35B4CF1B" w14:textId="77777777" w:rsidR="009B4121" w:rsidRPr="009B4121" w:rsidRDefault="009B4121" w:rsidP="00DD149F">
            <w:pPr>
              <w:rPr>
                <w:rFonts w:cs="Arial"/>
                <w:b/>
                <w:sz w:val="24"/>
                <w:szCs w:val="24"/>
              </w:rPr>
            </w:pPr>
            <w:r w:rsidRPr="009B4121">
              <w:rPr>
                <w:rFonts w:cs="Arial"/>
                <w:b/>
                <w:sz w:val="24"/>
                <w:szCs w:val="24"/>
              </w:rPr>
              <w:t>Income</w:t>
            </w:r>
          </w:p>
        </w:tc>
        <w:tc>
          <w:tcPr>
            <w:tcW w:w="7596" w:type="dxa"/>
          </w:tcPr>
          <w:p w14:paraId="747A11E7" w14:textId="77777777" w:rsidR="009B4121" w:rsidRPr="009B4121" w:rsidRDefault="009B4121" w:rsidP="00DD149F">
            <w:pPr>
              <w:rPr>
                <w:rFonts w:cs="Arial"/>
                <w:sz w:val="24"/>
                <w:szCs w:val="24"/>
              </w:rPr>
            </w:pPr>
            <w:r w:rsidRPr="009B4121">
              <w:rPr>
                <w:rFonts w:cs="Arial"/>
                <w:sz w:val="24"/>
                <w:szCs w:val="24"/>
              </w:rPr>
              <w:t xml:space="preserve">Receive a full (non-reduced) Commonwealth pension or income support payment </w:t>
            </w:r>
            <w:r w:rsidRPr="009B4121">
              <w:rPr>
                <w:rFonts w:cs="Arial"/>
                <w:sz w:val="24"/>
                <w:szCs w:val="24"/>
                <w:u w:val="single"/>
              </w:rPr>
              <w:t>AND</w:t>
            </w:r>
            <w:r w:rsidRPr="009B4121">
              <w:rPr>
                <w:rFonts w:cs="Arial"/>
                <w:sz w:val="24"/>
                <w:szCs w:val="24"/>
              </w:rPr>
              <w:t xml:space="preserve"> receive no additional income (other than  Centrelink payments)</w:t>
            </w:r>
          </w:p>
          <w:p w14:paraId="0A0DB59F" w14:textId="77777777" w:rsidR="009B4121" w:rsidRPr="009B4121" w:rsidRDefault="009B4121" w:rsidP="00DD149F">
            <w:pPr>
              <w:rPr>
                <w:rFonts w:cs="Arial"/>
                <w:sz w:val="24"/>
                <w:szCs w:val="24"/>
              </w:rPr>
            </w:pPr>
            <w:r w:rsidRPr="009B4121">
              <w:rPr>
                <w:rFonts w:cs="Arial"/>
                <w:sz w:val="24"/>
                <w:szCs w:val="24"/>
              </w:rPr>
              <w:t>OR</w:t>
            </w:r>
          </w:p>
          <w:p w14:paraId="4AFD3B0D" w14:textId="77777777" w:rsidR="009B4121" w:rsidRPr="009B4121" w:rsidRDefault="009B4121" w:rsidP="00DD149F">
            <w:pPr>
              <w:rPr>
                <w:rFonts w:cs="Arial"/>
                <w:sz w:val="24"/>
                <w:szCs w:val="24"/>
              </w:rPr>
            </w:pPr>
            <w:r w:rsidRPr="009B4121">
              <w:rPr>
                <w:rFonts w:cs="Arial"/>
                <w:sz w:val="24"/>
                <w:szCs w:val="24"/>
              </w:rPr>
              <w:t>Are a low income earner with net income no greater than the full Newstart allowance (if under retirement age) or the full aged pension (if over retirement age)</w:t>
            </w:r>
          </w:p>
        </w:tc>
      </w:tr>
      <w:tr w:rsidR="009B4121" w:rsidRPr="009B4121" w14:paraId="10BBA281" w14:textId="77777777" w:rsidTr="007059AF">
        <w:tc>
          <w:tcPr>
            <w:tcW w:w="1475" w:type="dxa"/>
            <w:shd w:val="clear" w:color="auto" w:fill="auto"/>
          </w:tcPr>
          <w:p w14:paraId="7B218102" w14:textId="77777777" w:rsidR="009B4121" w:rsidRPr="009B4121" w:rsidRDefault="009B4121" w:rsidP="00DD149F">
            <w:pPr>
              <w:rPr>
                <w:rFonts w:cs="Arial"/>
                <w:b/>
                <w:sz w:val="24"/>
                <w:szCs w:val="24"/>
              </w:rPr>
            </w:pPr>
            <w:r w:rsidRPr="009B4121">
              <w:rPr>
                <w:rFonts w:cs="Arial"/>
                <w:b/>
                <w:sz w:val="24"/>
                <w:szCs w:val="24"/>
              </w:rPr>
              <w:t>Other schemes</w:t>
            </w:r>
          </w:p>
        </w:tc>
        <w:tc>
          <w:tcPr>
            <w:tcW w:w="7596" w:type="dxa"/>
          </w:tcPr>
          <w:p w14:paraId="4F5F292E" w14:textId="77777777" w:rsidR="009B4121" w:rsidRPr="009B4121" w:rsidRDefault="009B4121" w:rsidP="00DD149F">
            <w:pPr>
              <w:rPr>
                <w:rFonts w:cs="Arial"/>
                <w:sz w:val="24"/>
                <w:szCs w:val="24"/>
              </w:rPr>
            </w:pPr>
            <w:r w:rsidRPr="009B4121">
              <w:rPr>
                <w:rFonts w:cs="Arial"/>
                <w:sz w:val="24"/>
                <w:szCs w:val="24"/>
              </w:rPr>
              <w:t>Are ineligible to receive free optical appliances under any other program (e.g. Department of Veterans’ Affairs)</w:t>
            </w:r>
          </w:p>
        </w:tc>
      </w:tr>
      <w:tr w:rsidR="009B4121" w:rsidRPr="009B4121" w14:paraId="5BA6C8A5" w14:textId="77777777" w:rsidTr="007059AF">
        <w:tc>
          <w:tcPr>
            <w:tcW w:w="1475" w:type="dxa"/>
            <w:shd w:val="clear" w:color="auto" w:fill="auto"/>
          </w:tcPr>
          <w:p w14:paraId="0955EBB5" w14:textId="77777777" w:rsidR="009B4121" w:rsidRPr="009B4121" w:rsidRDefault="009B4121" w:rsidP="00DD149F">
            <w:pPr>
              <w:rPr>
                <w:rFonts w:cs="Arial"/>
                <w:b/>
                <w:sz w:val="24"/>
                <w:szCs w:val="24"/>
              </w:rPr>
            </w:pPr>
            <w:r w:rsidRPr="009B4121">
              <w:rPr>
                <w:rFonts w:cs="Arial"/>
                <w:b/>
                <w:sz w:val="24"/>
                <w:szCs w:val="24"/>
              </w:rPr>
              <w:t>Time period</w:t>
            </w:r>
          </w:p>
        </w:tc>
        <w:tc>
          <w:tcPr>
            <w:tcW w:w="7596" w:type="dxa"/>
          </w:tcPr>
          <w:p w14:paraId="4040451D" w14:textId="77777777" w:rsidR="009B4121" w:rsidRPr="009B4121" w:rsidRDefault="009B4121" w:rsidP="00DD149F">
            <w:pPr>
              <w:rPr>
                <w:rFonts w:cs="Arial"/>
                <w:sz w:val="24"/>
                <w:szCs w:val="24"/>
              </w:rPr>
            </w:pPr>
            <w:r w:rsidRPr="009B4121">
              <w:rPr>
                <w:rFonts w:cs="Arial"/>
                <w:sz w:val="24"/>
                <w:szCs w:val="24"/>
              </w:rPr>
              <w:t>Have not received spectacles or other optical appliances under the Program within the past two years.</w:t>
            </w:r>
          </w:p>
          <w:p w14:paraId="7CA83283" w14:textId="77777777" w:rsidR="009B4121" w:rsidRPr="009B4121" w:rsidRDefault="009B4121" w:rsidP="00DD149F">
            <w:pPr>
              <w:rPr>
                <w:rFonts w:cs="Arial"/>
                <w:sz w:val="24"/>
                <w:szCs w:val="24"/>
              </w:rPr>
            </w:pPr>
          </w:p>
        </w:tc>
      </w:tr>
    </w:tbl>
    <w:p w14:paraId="286C41ED" w14:textId="77777777" w:rsidR="009B4121" w:rsidRPr="009B4121" w:rsidRDefault="009B4121" w:rsidP="00DD149F">
      <w:pPr>
        <w:spacing w:after="240"/>
        <w:rPr>
          <w:rFonts w:cs="Arial"/>
          <w:sz w:val="24"/>
        </w:rPr>
      </w:pPr>
      <w:r w:rsidRPr="009B4121">
        <w:rPr>
          <w:rFonts w:cs="Arial"/>
          <w:sz w:val="24"/>
        </w:rPr>
        <w:t>Special conditions exist to provide for single parents receiving maintenance, residents of remote areas, or return applicants experiencing a significant change in vision within two years. Contact our office for more information.</w:t>
      </w:r>
    </w:p>
    <w:p w14:paraId="3659E5B8" w14:textId="30BAB455" w:rsidR="009B4121" w:rsidRPr="009B4121" w:rsidRDefault="009B4121" w:rsidP="00DD149F">
      <w:pPr>
        <w:pStyle w:val="Heading3"/>
      </w:pPr>
      <w:r w:rsidRPr="009B4121">
        <w:t>What does the Program provide?</w:t>
      </w:r>
    </w:p>
    <w:p w14:paraId="4FB80FF0" w14:textId="77777777" w:rsidR="009B4121" w:rsidRPr="009B4121" w:rsidRDefault="009B4121" w:rsidP="00DD149F">
      <w:pPr>
        <w:spacing w:after="240"/>
        <w:rPr>
          <w:rFonts w:cs="Arial"/>
          <w:b/>
          <w:color w:val="000000" w:themeColor="text1"/>
          <w:sz w:val="24"/>
        </w:rPr>
      </w:pPr>
      <w:r w:rsidRPr="009B4121">
        <w:rPr>
          <w:rFonts w:cs="Arial"/>
          <w:sz w:val="24"/>
        </w:rPr>
        <w:t>If you meet the Program’s eligibility requirements, you are entitled, in any two-year period, to receive:</w:t>
      </w:r>
    </w:p>
    <w:p w14:paraId="63485722" w14:textId="77777777" w:rsidR="009B4121" w:rsidRPr="009B4121" w:rsidRDefault="009B4121" w:rsidP="00DD149F">
      <w:pPr>
        <w:pStyle w:val="ListParagraph"/>
        <w:numPr>
          <w:ilvl w:val="0"/>
          <w:numId w:val="7"/>
        </w:numPr>
        <w:spacing w:after="240" w:line="276" w:lineRule="auto"/>
        <w:rPr>
          <w:rFonts w:cs="Arial"/>
          <w:sz w:val="24"/>
        </w:rPr>
      </w:pPr>
      <w:r w:rsidRPr="009B4121">
        <w:rPr>
          <w:rFonts w:cs="Arial"/>
          <w:sz w:val="24"/>
        </w:rPr>
        <w:t>One pair of single vision spectacles; or</w:t>
      </w:r>
    </w:p>
    <w:p w14:paraId="4291D71D" w14:textId="77777777" w:rsidR="00DD149F" w:rsidRDefault="009B4121" w:rsidP="00DD149F">
      <w:pPr>
        <w:pStyle w:val="ListParagraph"/>
        <w:numPr>
          <w:ilvl w:val="0"/>
          <w:numId w:val="7"/>
        </w:numPr>
        <w:spacing w:after="240" w:line="276" w:lineRule="auto"/>
        <w:rPr>
          <w:rFonts w:cs="Arial"/>
          <w:sz w:val="24"/>
        </w:rPr>
      </w:pPr>
      <w:r w:rsidRPr="009B4121">
        <w:rPr>
          <w:rFonts w:cs="Arial"/>
          <w:sz w:val="24"/>
        </w:rPr>
        <w:t>One pair of bifocal spectacles.</w:t>
      </w:r>
    </w:p>
    <w:p w14:paraId="1900A2AE" w14:textId="77777777" w:rsidR="00DD149F" w:rsidRDefault="009B4121" w:rsidP="00DD149F">
      <w:pPr>
        <w:spacing w:after="240" w:line="276" w:lineRule="auto"/>
        <w:rPr>
          <w:rFonts w:cs="Arial"/>
          <w:sz w:val="24"/>
        </w:rPr>
      </w:pPr>
      <w:r w:rsidRPr="00DD149F">
        <w:rPr>
          <w:rFonts w:cs="Arial"/>
          <w:sz w:val="24"/>
        </w:rPr>
        <w:t>The Program may fund other items including contact lenses, tinted lenses or low vision aids, depending on individual clinical needs.</w:t>
      </w:r>
    </w:p>
    <w:p w14:paraId="37C2D810" w14:textId="34E47CD0" w:rsidR="009B4121" w:rsidRPr="009B4121" w:rsidRDefault="009B4121" w:rsidP="00DD149F">
      <w:pPr>
        <w:spacing w:after="240" w:line="276" w:lineRule="auto"/>
        <w:rPr>
          <w:rFonts w:cs="Arial"/>
          <w:sz w:val="24"/>
        </w:rPr>
      </w:pPr>
      <w:r w:rsidRPr="009B4121">
        <w:rPr>
          <w:rFonts w:cs="Arial"/>
          <w:sz w:val="24"/>
        </w:rPr>
        <w:lastRenderedPageBreak/>
        <w:t>These items are provided free of charge to eligible applicants. When accessing this service, you can choose to pay an additional fee for items that the Program does not fund. Common items that attract a cost include:</w:t>
      </w:r>
    </w:p>
    <w:p w14:paraId="08493083" w14:textId="5DF84485" w:rsidR="009B4121" w:rsidRPr="009B4121" w:rsidRDefault="00DD149F" w:rsidP="00DD149F">
      <w:pPr>
        <w:pStyle w:val="ListParagraph"/>
        <w:numPr>
          <w:ilvl w:val="0"/>
          <w:numId w:val="7"/>
        </w:numPr>
        <w:spacing w:after="240" w:line="276" w:lineRule="auto"/>
        <w:rPr>
          <w:rFonts w:cs="Arial"/>
          <w:sz w:val="24"/>
        </w:rPr>
      </w:pPr>
      <w:r>
        <w:rPr>
          <w:rFonts w:cs="Arial"/>
          <w:sz w:val="24"/>
        </w:rPr>
        <w:t>M</w:t>
      </w:r>
      <w:r w:rsidR="009B4121" w:rsidRPr="009B4121">
        <w:rPr>
          <w:rFonts w:cs="Arial"/>
          <w:sz w:val="24"/>
        </w:rPr>
        <w:t>ultifocal or progressive lenses</w:t>
      </w:r>
    </w:p>
    <w:p w14:paraId="7AD6B8A0" w14:textId="1407E346" w:rsidR="009B4121" w:rsidRPr="009B4121" w:rsidRDefault="00DD149F" w:rsidP="00DD149F">
      <w:pPr>
        <w:pStyle w:val="ListParagraph"/>
        <w:numPr>
          <w:ilvl w:val="0"/>
          <w:numId w:val="7"/>
        </w:numPr>
        <w:spacing w:after="240" w:line="276" w:lineRule="auto"/>
        <w:rPr>
          <w:rFonts w:cs="Arial"/>
          <w:sz w:val="24"/>
        </w:rPr>
      </w:pPr>
      <w:r>
        <w:rPr>
          <w:rFonts w:cs="Arial"/>
          <w:sz w:val="24"/>
        </w:rPr>
        <w:t>T</w:t>
      </w:r>
      <w:r w:rsidR="009B4121" w:rsidRPr="009B4121">
        <w:rPr>
          <w:rFonts w:cs="Arial"/>
          <w:sz w:val="24"/>
        </w:rPr>
        <w:t>ransition or photochromatic coatings</w:t>
      </w:r>
    </w:p>
    <w:p w14:paraId="1A75C451" w14:textId="78D60D04" w:rsidR="009B4121" w:rsidRPr="009B4121" w:rsidRDefault="00DD149F" w:rsidP="00DD149F">
      <w:pPr>
        <w:pStyle w:val="ListParagraph"/>
        <w:numPr>
          <w:ilvl w:val="0"/>
          <w:numId w:val="7"/>
        </w:numPr>
        <w:spacing w:after="240" w:line="276" w:lineRule="auto"/>
        <w:rPr>
          <w:rFonts w:cs="Arial"/>
          <w:sz w:val="24"/>
        </w:rPr>
      </w:pPr>
      <w:r>
        <w:rPr>
          <w:rFonts w:cs="Arial"/>
          <w:sz w:val="24"/>
        </w:rPr>
        <w:t>N</w:t>
      </w:r>
      <w:r w:rsidR="009B4121" w:rsidRPr="009B4121">
        <w:rPr>
          <w:rFonts w:cs="Arial"/>
          <w:sz w:val="24"/>
        </w:rPr>
        <w:t>on-standard frames</w:t>
      </w:r>
    </w:p>
    <w:p w14:paraId="167102E2" w14:textId="04600FE2" w:rsidR="00DD149F" w:rsidRPr="009B4121" w:rsidRDefault="009B4121" w:rsidP="00DD149F">
      <w:pPr>
        <w:spacing w:after="240"/>
        <w:rPr>
          <w:rFonts w:cs="Arial"/>
          <w:sz w:val="24"/>
        </w:rPr>
      </w:pPr>
      <w:r w:rsidRPr="009B4121">
        <w:rPr>
          <w:rFonts w:cs="Arial"/>
          <w:sz w:val="24"/>
        </w:rPr>
        <w:t>If you choose to pay a co-contribution toward items not available through the Program, you should enquire with your provider about the cost before your order is placed.</w:t>
      </w:r>
    </w:p>
    <w:p w14:paraId="31CE9A2A" w14:textId="677A4C05" w:rsidR="009B4121" w:rsidRPr="00DD149F" w:rsidRDefault="009B4121" w:rsidP="00DD149F">
      <w:pPr>
        <w:pStyle w:val="Heading3"/>
        <w:rPr>
          <w:sz w:val="44"/>
          <w:szCs w:val="26"/>
        </w:rPr>
      </w:pPr>
      <w:r w:rsidRPr="009B4121">
        <w:t>How to apply</w:t>
      </w:r>
    </w:p>
    <w:p w14:paraId="49496153" w14:textId="77777777" w:rsidR="009B4121" w:rsidRPr="009B4121" w:rsidRDefault="009B4121" w:rsidP="00DD149F">
      <w:pPr>
        <w:spacing w:after="240"/>
        <w:rPr>
          <w:rFonts w:cs="Arial"/>
          <w:sz w:val="24"/>
        </w:rPr>
      </w:pPr>
      <w:r w:rsidRPr="009B4121">
        <w:rPr>
          <w:rFonts w:cs="Arial"/>
          <w:sz w:val="24"/>
        </w:rPr>
        <w:t>As part of your application, you will need to provide:</w:t>
      </w:r>
    </w:p>
    <w:p w14:paraId="1F277F47" w14:textId="77777777" w:rsidR="009B4121" w:rsidRPr="009B4121" w:rsidRDefault="009B4121" w:rsidP="00DD149F">
      <w:pPr>
        <w:pStyle w:val="ListParagraph"/>
        <w:numPr>
          <w:ilvl w:val="0"/>
          <w:numId w:val="7"/>
        </w:numPr>
        <w:spacing w:after="240" w:line="276" w:lineRule="auto"/>
        <w:rPr>
          <w:rFonts w:cs="Arial"/>
          <w:sz w:val="24"/>
        </w:rPr>
      </w:pPr>
      <w:r w:rsidRPr="009B4121">
        <w:rPr>
          <w:rFonts w:cs="Arial"/>
          <w:sz w:val="24"/>
        </w:rPr>
        <w:t>Personal details, including contact details and Medicare card number</w:t>
      </w:r>
    </w:p>
    <w:p w14:paraId="494A7D44" w14:textId="77777777" w:rsidR="009B4121" w:rsidRPr="009B4121" w:rsidRDefault="009B4121" w:rsidP="00DD149F">
      <w:pPr>
        <w:pStyle w:val="ListParagraph"/>
        <w:numPr>
          <w:ilvl w:val="0"/>
          <w:numId w:val="7"/>
        </w:numPr>
        <w:spacing w:after="240" w:line="276" w:lineRule="auto"/>
        <w:rPr>
          <w:rFonts w:cs="Arial"/>
          <w:sz w:val="24"/>
        </w:rPr>
      </w:pPr>
      <w:r w:rsidRPr="009B4121">
        <w:rPr>
          <w:rFonts w:cs="Arial"/>
          <w:sz w:val="24"/>
        </w:rPr>
        <w:t>A Centrelink Income Statement that is no more than three months old, if receiving Centrelink payments;</w:t>
      </w:r>
    </w:p>
    <w:p w14:paraId="49B47591" w14:textId="77777777" w:rsidR="009B4121" w:rsidRPr="009B4121" w:rsidRDefault="009B4121" w:rsidP="00DD149F">
      <w:pPr>
        <w:pStyle w:val="ListParagraph"/>
        <w:spacing w:after="240"/>
        <w:rPr>
          <w:rFonts w:cs="Arial"/>
          <w:sz w:val="24"/>
        </w:rPr>
      </w:pPr>
      <w:r w:rsidRPr="009B4121">
        <w:rPr>
          <w:rFonts w:cs="Arial"/>
          <w:sz w:val="24"/>
        </w:rPr>
        <w:t>OR</w:t>
      </w:r>
    </w:p>
    <w:p w14:paraId="2B0F09AE" w14:textId="77777777" w:rsidR="009B4121" w:rsidRPr="009B4121" w:rsidRDefault="009B4121" w:rsidP="00DD149F">
      <w:pPr>
        <w:pStyle w:val="ListParagraph"/>
        <w:numPr>
          <w:ilvl w:val="0"/>
          <w:numId w:val="7"/>
        </w:numPr>
        <w:spacing w:after="240" w:line="276" w:lineRule="auto"/>
        <w:rPr>
          <w:rFonts w:cs="Arial"/>
          <w:sz w:val="24"/>
        </w:rPr>
      </w:pPr>
      <w:r w:rsidRPr="009B4121">
        <w:rPr>
          <w:rFonts w:cs="Arial"/>
          <w:sz w:val="24"/>
        </w:rPr>
        <w:t>A payslip and a bank statement that are no more than three months old, if a low income earner.</w:t>
      </w:r>
    </w:p>
    <w:p w14:paraId="7AF30F0E" w14:textId="77777777" w:rsidR="009B4121" w:rsidRPr="009B4121" w:rsidRDefault="009B4121" w:rsidP="00DD149F">
      <w:pPr>
        <w:spacing w:after="240"/>
        <w:rPr>
          <w:rFonts w:cs="Arial"/>
          <w:sz w:val="24"/>
        </w:rPr>
      </w:pPr>
      <w:r w:rsidRPr="009B4121">
        <w:rPr>
          <w:rFonts w:cs="Arial"/>
          <w:sz w:val="24"/>
        </w:rPr>
        <w:t>Centrelink Income Statements can be obtained by phoning or visiting a Centrelink branch, or logging on to Centrelink online.</w:t>
      </w:r>
    </w:p>
    <w:p w14:paraId="59958ACA" w14:textId="3F275437" w:rsidR="009B4121" w:rsidRPr="009B4121" w:rsidRDefault="009B4121" w:rsidP="00DD149F">
      <w:pPr>
        <w:spacing w:after="240"/>
        <w:rPr>
          <w:rFonts w:cs="Arial"/>
          <w:sz w:val="24"/>
        </w:rPr>
      </w:pPr>
      <w:r w:rsidRPr="009B4121">
        <w:rPr>
          <w:rFonts w:cs="Arial"/>
          <w:sz w:val="24"/>
        </w:rPr>
        <w:t xml:space="preserve">Once you have obtained the relevant documents, you can lodge an application with a registered Program Provider. First, make an appointment with your chosen provider. When booking an appointment, check whether the provider will need to examine your eyes, or whether you should bring a prescription with you. You should also </w:t>
      </w:r>
      <w:r w:rsidR="00D624ED">
        <w:rPr>
          <w:rFonts w:cs="Arial"/>
          <w:sz w:val="24"/>
        </w:rPr>
        <w:t xml:space="preserve">check </w:t>
      </w:r>
      <w:r w:rsidRPr="009B4121">
        <w:rPr>
          <w:rFonts w:cs="Arial"/>
          <w:sz w:val="24"/>
        </w:rPr>
        <w:t>whether or not any eye examination can be billed through Medicare. Prescriptions filled through the Program must be no more than three months old.</w:t>
      </w:r>
      <w:r w:rsidR="00D624ED">
        <w:rPr>
          <w:rFonts w:cs="Arial"/>
          <w:sz w:val="24"/>
        </w:rPr>
        <w:t xml:space="preserve"> Most providers participating in the Program are optometrists who can </w:t>
      </w:r>
      <w:proofErr w:type="spellStart"/>
      <w:r w:rsidR="00D624ED">
        <w:rPr>
          <w:rFonts w:cs="Arial"/>
          <w:sz w:val="24"/>
        </w:rPr>
        <w:t>condult</w:t>
      </w:r>
      <w:proofErr w:type="spellEnd"/>
      <w:r w:rsidR="00D624ED">
        <w:rPr>
          <w:rFonts w:cs="Arial"/>
          <w:sz w:val="24"/>
        </w:rPr>
        <w:t xml:space="preserve"> your eye examination and provide you with a current prescription.</w:t>
      </w:r>
    </w:p>
    <w:p w14:paraId="58FA4737" w14:textId="77777777" w:rsidR="009B4121" w:rsidRPr="009B4121" w:rsidRDefault="009B4121" w:rsidP="00DD149F">
      <w:pPr>
        <w:spacing w:after="240"/>
        <w:rPr>
          <w:rFonts w:cs="Arial"/>
          <w:sz w:val="24"/>
        </w:rPr>
      </w:pPr>
      <w:r w:rsidRPr="009B4121">
        <w:rPr>
          <w:rFonts w:cs="Arial"/>
          <w:sz w:val="24"/>
        </w:rPr>
        <w:t>At your appointment, your provider will supply the terms and conditions for participating in the Program. This will explain privacy conditions for the protection of your personal information and any action Vision Australia or the NSW government may take to verify information provided in your application.</w:t>
      </w:r>
    </w:p>
    <w:p w14:paraId="148AEF09" w14:textId="77777777" w:rsidR="009B4121" w:rsidRPr="009B4121" w:rsidRDefault="009B4121" w:rsidP="00DD149F">
      <w:pPr>
        <w:spacing w:after="240"/>
        <w:rPr>
          <w:rFonts w:cs="Arial"/>
          <w:sz w:val="24"/>
        </w:rPr>
      </w:pPr>
      <w:r w:rsidRPr="009B4121">
        <w:rPr>
          <w:rFonts w:cs="Arial"/>
          <w:sz w:val="24"/>
        </w:rPr>
        <w:t>You will be asked to provide verbal consent to the terms and conditions, and a verbal declaration that the information you have provided is true and correct. The provider will enter your details into the NSW Spectacles Program online portal and lodge your application using the documentation you supply. Once your application has been approved, the Provider will order your spectacles or optical aids and let you know when they are ready to collect.</w:t>
      </w:r>
    </w:p>
    <w:p w14:paraId="3100EEE2" w14:textId="77777777" w:rsidR="009B4121" w:rsidRPr="009B4121" w:rsidRDefault="009B4121" w:rsidP="00DD149F">
      <w:pPr>
        <w:spacing w:after="240"/>
        <w:rPr>
          <w:rFonts w:cs="Arial"/>
          <w:sz w:val="24"/>
        </w:rPr>
      </w:pPr>
      <w:r w:rsidRPr="009B4121">
        <w:rPr>
          <w:rFonts w:cs="Arial"/>
          <w:sz w:val="24"/>
        </w:rPr>
        <w:t>To find your nearest Program Provider, or if you have any queries, you can contact us by:</w:t>
      </w:r>
    </w:p>
    <w:p w14:paraId="0BD919F0" w14:textId="49E57179" w:rsidR="009B4121" w:rsidRPr="00DD149F" w:rsidRDefault="009B4121" w:rsidP="00DD149F">
      <w:pPr>
        <w:rPr>
          <w:rFonts w:cs="Arial"/>
          <w:sz w:val="24"/>
        </w:rPr>
      </w:pPr>
      <w:r w:rsidRPr="009B4121">
        <w:rPr>
          <w:rFonts w:cs="Arial"/>
          <w:sz w:val="24"/>
        </w:rPr>
        <w:tab/>
      </w:r>
      <w:r w:rsidRPr="00DD149F">
        <w:rPr>
          <w:rFonts w:cs="Arial"/>
          <w:sz w:val="24"/>
          <w:u w:val="single"/>
        </w:rPr>
        <w:t>Phon</w:t>
      </w:r>
      <w:r w:rsidR="000831DC">
        <w:rPr>
          <w:rFonts w:cs="Arial"/>
          <w:sz w:val="24"/>
          <w:u w:val="single"/>
        </w:rPr>
        <w:t>e</w:t>
      </w:r>
      <w:r w:rsidRPr="00DD149F">
        <w:rPr>
          <w:rFonts w:cs="Arial"/>
          <w:sz w:val="24"/>
          <w:u w:val="single"/>
        </w:rPr>
        <w:t>:</w:t>
      </w:r>
      <w:r w:rsidR="00DD149F" w:rsidRPr="00DD149F">
        <w:rPr>
          <w:rFonts w:cs="Arial"/>
          <w:sz w:val="24"/>
        </w:rPr>
        <w:tab/>
      </w:r>
      <w:r w:rsidR="000831DC">
        <w:rPr>
          <w:rFonts w:cs="Arial"/>
          <w:sz w:val="24"/>
        </w:rPr>
        <w:t>1300 84 74 66 and ask</w:t>
      </w:r>
      <w:r w:rsidRPr="00DD149F">
        <w:rPr>
          <w:rFonts w:cs="Arial"/>
          <w:sz w:val="24"/>
        </w:rPr>
        <w:t xml:space="preserve"> for the Spectacles Program</w:t>
      </w:r>
    </w:p>
    <w:p w14:paraId="22C4CAC1" w14:textId="08577BC3" w:rsidR="009B4121" w:rsidRPr="00DD149F" w:rsidRDefault="009B4121" w:rsidP="00DD149F">
      <w:pPr>
        <w:ind w:firstLine="720"/>
        <w:rPr>
          <w:rFonts w:cs="Arial"/>
          <w:sz w:val="24"/>
        </w:rPr>
      </w:pPr>
      <w:r w:rsidRPr="00DD149F">
        <w:rPr>
          <w:rFonts w:cs="Arial"/>
          <w:sz w:val="24"/>
          <w:u w:val="single"/>
        </w:rPr>
        <w:t>E-mail</w:t>
      </w:r>
      <w:r w:rsidR="00DD149F" w:rsidRPr="00DD149F">
        <w:rPr>
          <w:rFonts w:cs="Arial"/>
          <w:sz w:val="24"/>
          <w:u w:val="single"/>
        </w:rPr>
        <w:t>:</w:t>
      </w:r>
      <w:r w:rsidR="00DD149F" w:rsidRPr="00DD149F">
        <w:rPr>
          <w:rFonts w:cs="Arial"/>
          <w:sz w:val="24"/>
        </w:rPr>
        <w:tab/>
      </w:r>
      <w:hyperlink r:id="rId12" w:history="1">
        <w:r w:rsidRPr="00DD149F">
          <w:rPr>
            <w:rStyle w:val="Hyperlink"/>
            <w:rFonts w:cs="Arial"/>
            <w:sz w:val="24"/>
          </w:rPr>
          <w:t>info@visionaustralia.org</w:t>
        </w:r>
      </w:hyperlink>
    </w:p>
    <w:p w14:paraId="0062FDA6" w14:textId="62D686FD" w:rsidR="00430729" w:rsidRPr="009B4121" w:rsidRDefault="000831DC" w:rsidP="00D624ED">
      <w:pPr>
        <w:ind w:firstLine="720"/>
        <w:rPr>
          <w:rFonts w:cs="Arial"/>
          <w:sz w:val="24"/>
        </w:rPr>
      </w:pPr>
      <w:r>
        <w:rPr>
          <w:rFonts w:cs="Arial"/>
          <w:sz w:val="24"/>
          <w:u w:val="single"/>
        </w:rPr>
        <w:t>Online</w:t>
      </w:r>
      <w:r w:rsidR="00DD149F" w:rsidRPr="00DD149F">
        <w:rPr>
          <w:rFonts w:cs="Arial"/>
          <w:sz w:val="24"/>
          <w:u w:val="single"/>
        </w:rPr>
        <w:t>:</w:t>
      </w:r>
      <w:r w:rsidR="00DD149F" w:rsidRPr="00DD149F">
        <w:rPr>
          <w:rFonts w:cs="Arial"/>
          <w:sz w:val="24"/>
        </w:rPr>
        <w:tab/>
      </w:r>
      <w:hyperlink r:id="rId13" w:history="1">
        <w:r w:rsidR="009B4121" w:rsidRPr="00DD149F">
          <w:rPr>
            <w:rStyle w:val="Hyperlink"/>
            <w:rFonts w:cs="Arial"/>
            <w:sz w:val="24"/>
          </w:rPr>
          <w:t>http://www.visionaustralia.org/spectacles</w:t>
        </w:r>
      </w:hyperlink>
      <w:bookmarkStart w:id="0" w:name="_GoBack"/>
      <w:bookmarkEnd w:id="0"/>
    </w:p>
    <w:sectPr w:rsidR="00430729" w:rsidRPr="009B4121" w:rsidSect="003937A7">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59762" w14:textId="77777777" w:rsidR="003507B9" w:rsidRDefault="003507B9" w:rsidP="0044444C">
      <w:r>
        <w:separator/>
      </w:r>
    </w:p>
  </w:endnote>
  <w:endnote w:type="continuationSeparator" w:id="0">
    <w:p w14:paraId="5BF29C98" w14:textId="77777777" w:rsidR="003507B9" w:rsidRDefault="003507B9"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089B0" w14:textId="77777777" w:rsidR="000831DC" w:rsidRDefault="00083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05B17" w14:textId="77777777" w:rsidR="009D034C" w:rsidRDefault="009D034C" w:rsidP="003937A7">
    <w:pPr>
      <w:pStyle w:val="Footer"/>
      <w:jc w:val="center"/>
    </w:pPr>
    <w:r>
      <w:rPr>
        <w:noProof/>
        <w:lang w:eastAsia="en-AU"/>
      </w:rPr>
      <w:drawing>
        <wp:inline distT="0" distB="0" distL="0" distR="0" wp14:anchorId="38FB8AC3" wp14:editId="25073C2C">
          <wp:extent cx="6379534" cy="753213"/>
          <wp:effectExtent l="0" t="0" r="0" b="0"/>
          <wp:docPr id="4" name="Picture 5" descr="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F58C" w14:textId="77777777" w:rsidR="00176FAE" w:rsidRDefault="00176FAE">
    <w:pPr>
      <w:pStyle w:val="Footer"/>
    </w:pPr>
    <w:r>
      <w:rPr>
        <w:noProof/>
        <w:lang w:eastAsia="en-AU"/>
      </w:rPr>
      <w:drawing>
        <wp:inline distT="0" distB="0" distL="0" distR="0" wp14:anchorId="0DB28747" wp14:editId="14FC73A8">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98731" w14:textId="77777777" w:rsidR="003507B9" w:rsidRDefault="003507B9" w:rsidP="0044444C">
      <w:r>
        <w:separator/>
      </w:r>
    </w:p>
  </w:footnote>
  <w:footnote w:type="continuationSeparator" w:id="0">
    <w:p w14:paraId="4D7ABB05" w14:textId="77777777" w:rsidR="003507B9" w:rsidRDefault="003507B9"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5B3FF" w14:textId="77777777" w:rsidR="000831DC" w:rsidRDefault="00083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B71CE" w14:textId="77777777" w:rsidR="00176FAE" w:rsidRDefault="009D034C" w:rsidP="003937A7">
    <w:pPr>
      <w:pStyle w:val="Header"/>
      <w:tabs>
        <w:tab w:val="clear" w:pos="8640"/>
        <w:tab w:val="right" w:pos="9072"/>
      </w:tabs>
      <w:jc w:val="right"/>
    </w:pPr>
    <w:r w:rsidRPr="00203AF0">
      <w:rPr>
        <w:noProof/>
        <w:lang w:eastAsia="en-AU"/>
      </w:rPr>
      <w:drawing>
        <wp:inline distT="0" distB="0" distL="0" distR="0" wp14:anchorId="58B32D11" wp14:editId="6CD4C0F6">
          <wp:extent cx="2499360" cy="1078865"/>
          <wp:effectExtent l="0" t="0" r="0" b="0"/>
          <wp:docPr id="3" name="Picture 3"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1DC32" w14:textId="77777777" w:rsidR="00176FAE" w:rsidRDefault="00176FAE" w:rsidP="00176FAE">
    <w:pPr>
      <w:pStyle w:val="Header"/>
      <w:jc w:val="right"/>
    </w:pPr>
    <w:r w:rsidRPr="00203AF0">
      <w:rPr>
        <w:noProof/>
        <w:lang w:eastAsia="en-AU"/>
      </w:rPr>
      <w:drawing>
        <wp:inline distT="0" distB="0" distL="0" distR="0" wp14:anchorId="219C3BF4" wp14:editId="01B4BC90">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16D63478"/>
    <w:multiLevelType w:val="multilevel"/>
    <w:tmpl w:val="3A448D92"/>
    <w:lvl w:ilvl="0">
      <w:start w:val="1"/>
      <w:numFmt w:val="bullet"/>
      <w:lvlText w:val=""/>
      <w:lvlJc w:val="left"/>
      <w:pPr>
        <w:ind w:left="680" w:hanging="340"/>
      </w:pPr>
      <w:rPr>
        <w:rFonts w:ascii="Symbol" w:hAnsi="Symbol" w:hint="default"/>
        <w:color w:val="404040" w:themeColor="text1" w:themeTint="BF"/>
        <w:position w:val="3"/>
        <w:sz w:val="10"/>
      </w:rPr>
    </w:lvl>
    <w:lvl w:ilvl="1">
      <w:start w:val="1"/>
      <w:numFmt w:val="bullet"/>
      <w:lvlText w:val=""/>
      <w:lvlJc w:val="left"/>
      <w:pPr>
        <w:ind w:left="1020" w:hanging="340"/>
      </w:pPr>
      <w:rPr>
        <w:rFonts w:ascii="Wingdings 2" w:hAnsi="Wingdings 2" w:hint="default"/>
        <w:color w:val="404040" w:themeColor="text1" w:themeTint="BF"/>
        <w:position w:val="3"/>
        <w:sz w:val="10"/>
      </w:rPr>
    </w:lvl>
    <w:lvl w:ilvl="2">
      <w:start w:val="1"/>
      <w:numFmt w:val="bullet"/>
      <w:lvlText w:val=""/>
      <w:lvlJc w:val="left"/>
      <w:pPr>
        <w:ind w:left="1360" w:hanging="340"/>
      </w:pPr>
      <w:rPr>
        <w:rFonts w:ascii="Wingdings 2" w:hAnsi="Wingdings 2" w:hint="default"/>
        <w:color w:val="404040" w:themeColor="text1" w:themeTint="BF"/>
        <w:position w:val="4"/>
        <w:sz w:val="10"/>
      </w:rPr>
    </w:lvl>
    <w:lvl w:ilvl="3">
      <w:start w:val="1"/>
      <w:numFmt w:val="bullet"/>
      <w:lvlText w:val=""/>
      <w:lvlJc w:val="left"/>
      <w:pPr>
        <w:ind w:left="1700" w:hanging="340"/>
      </w:pPr>
      <w:rPr>
        <w:rFonts w:ascii="Wingdings 2" w:hAnsi="Wingdings 2" w:hint="default"/>
        <w:color w:val="404040" w:themeColor="text1" w:themeTint="BF"/>
        <w:position w:val="3"/>
        <w:sz w:val="10"/>
      </w:rPr>
    </w:lvl>
    <w:lvl w:ilvl="4">
      <w:start w:val="1"/>
      <w:numFmt w:val="none"/>
      <w:lvlText w:val=""/>
      <w:lvlJc w:val="left"/>
      <w:pPr>
        <w:ind w:left="2040" w:hanging="340"/>
      </w:pPr>
      <w:rPr>
        <w:rFonts w:hint="default"/>
        <w:color w:val="404040" w:themeColor="text1" w:themeTint="BF"/>
        <w:position w:val="3"/>
        <w:sz w:val="10"/>
      </w:rPr>
    </w:lvl>
    <w:lvl w:ilvl="5">
      <w:start w:val="1"/>
      <w:numFmt w:val="none"/>
      <w:lvlText w:val=""/>
      <w:lvlJc w:val="left"/>
      <w:pPr>
        <w:ind w:left="2380" w:hanging="340"/>
      </w:pPr>
      <w:rPr>
        <w:rFonts w:hint="default"/>
        <w:color w:val="404040" w:themeColor="text1" w:themeTint="BF"/>
        <w:position w:val="3"/>
        <w:sz w:val="10"/>
      </w:rPr>
    </w:lvl>
    <w:lvl w:ilvl="6">
      <w:start w:val="1"/>
      <w:numFmt w:val="none"/>
      <w:lvlText w:val=""/>
      <w:lvlJc w:val="left"/>
      <w:pPr>
        <w:ind w:left="2720" w:hanging="340"/>
      </w:pPr>
      <w:rPr>
        <w:rFonts w:hint="default"/>
        <w:color w:val="404040" w:themeColor="text1" w:themeTint="BF"/>
        <w:position w:val="3"/>
        <w:sz w:val="10"/>
      </w:rPr>
    </w:lvl>
    <w:lvl w:ilvl="7">
      <w:start w:val="1"/>
      <w:numFmt w:val="none"/>
      <w:lvlText w:val=""/>
      <w:lvlJc w:val="left"/>
      <w:pPr>
        <w:ind w:left="3060" w:hanging="340"/>
      </w:pPr>
      <w:rPr>
        <w:rFonts w:hint="default"/>
        <w:color w:val="404040" w:themeColor="text1" w:themeTint="BF"/>
        <w:position w:val="3"/>
        <w:sz w:val="10"/>
      </w:rPr>
    </w:lvl>
    <w:lvl w:ilvl="8">
      <w:start w:val="1"/>
      <w:numFmt w:val="none"/>
      <w:lvlText w:val=""/>
      <w:lvlJc w:val="left"/>
      <w:pPr>
        <w:ind w:left="3400" w:hanging="340"/>
      </w:pPr>
      <w:rPr>
        <w:rFonts w:hint="default"/>
        <w:color w:val="404040" w:themeColor="text1" w:themeTint="BF"/>
        <w:position w:val="3"/>
        <w:sz w:val="10"/>
      </w:rPr>
    </w:lvl>
  </w:abstractNum>
  <w:abstractNum w:abstractNumId="2">
    <w:nsid w:val="52D4514A"/>
    <w:multiLevelType w:val="hybridMultilevel"/>
    <w:tmpl w:val="3E4EB3A6"/>
    <w:lvl w:ilvl="0" w:tplc="22C2C5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967671"/>
    <w:multiLevelType w:val="hybridMultilevel"/>
    <w:tmpl w:val="5C50B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710CE"/>
    <w:multiLevelType w:val="multilevel"/>
    <w:tmpl w:val="D884BCB2"/>
    <w:lvl w:ilvl="0">
      <w:start w:val="1"/>
      <w:numFmt w:val="bullet"/>
      <w:pStyle w:val="Bullet"/>
      <w:lvlText w:val=""/>
      <w:lvlJc w:val="left"/>
      <w:pPr>
        <w:ind w:left="680" w:hanging="340"/>
      </w:pPr>
      <w:rPr>
        <w:rFonts w:ascii="Wingdings 2" w:hAnsi="Wingdings 2" w:hint="default"/>
        <w:color w:val="404040" w:themeColor="text1" w:themeTint="BF"/>
        <w:position w:val="3"/>
        <w:sz w:val="10"/>
      </w:rPr>
    </w:lvl>
    <w:lvl w:ilvl="1">
      <w:start w:val="1"/>
      <w:numFmt w:val="bullet"/>
      <w:lvlText w:val=""/>
      <w:lvlJc w:val="left"/>
      <w:pPr>
        <w:ind w:left="1020" w:hanging="340"/>
      </w:pPr>
      <w:rPr>
        <w:rFonts w:ascii="Wingdings 2" w:hAnsi="Wingdings 2" w:hint="default"/>
        <w:color w:val="404040" w:themeColor="text1" w:themeTint="BF"/>
        <w:position w:val="3"/>
        <w:sz w:val="10"/>
      </w:rPr>
    </w:lvl>
    <w:lvl w:ilvl="2">
      <w:start w:val="1"/>
      <w:numFmt w:val="bullet"/>
      <w:lvlText w:val=""/>
      <w:lvlJc w:val="left"/>
      <w:pPr>
        <w:ind w:left="1360" w:hanging="340"/>
      </w:pPr>
      <w:rPr>
        <w:rFonts w:ascii="Wingdings 2" w:hAnsi="Wingdings 2" w:hint="default"/>
        <w:color w:val="404040" w:themeColor="text1" w:themeTint="BF"/>
        <w:position w:val="4"/>
        <w:sz w:val="10"/>
      </w:rPr>
    </w:lvl>
    <w:lvl w:ilvl="3">
      <w:start w:val="1"/>
      <w:numFmt w:val="bullet"/>
      <w:lvlText w:val=""/>
      <w:lvlJc w:val="left"/>
      <w:pPr>
        <w:ind w:left="1700" w:hanging="340"/>
      </w:pPr>
      <w:rPr>
        <w:rFonts w:ascii="Wingdings 2" w:hAnsi="Wingdings 2" w:hint="default"/>
        <w:color w:val="404040" w:themeColor="text1" w:themeTint="BF"/>
        <w:position w:val="3"/>
        <w:sz w:val="10"/>
      </w:rPr>
    </w:lvl>
    <w:lvl w:ilvl="4">
      <w:start w:val="1"/>
      <w:numFmt w:val="none"/>
      <w:lvlText w:val=""/>
      <w:lvlJc w:val="left"/>
      <w:pPr>
        <w:ind w:left="2040" w:hanging="340"/>
      </w:pPr>
      <w:rPr>
        <w:rFonts w:hint="default"/>
        <w:color w:val="404040" w:themeColor="text1" w:themeTint="BF"/>
        <w:position w:val="3"/>
        <w:sz w:val="10"/>
      </w:rPr>
    </w:lvl>
    <w:lvl w:ilvl="5">
      <w:start w:val="1"/>
      <w:numFmt w:val="none"/>
      <w:lvlText w:val=""/>
      <w:lvlJc w:val="left"/>
      <w:pPr>
        <w:ind w:left="2380" w:hanging="340"/>
      </w:pPr>
      <w:rPr>
        <w:rFonts w:hint="default"/>
        <w:color w:val="404040" w:themeColor="text1" w:themeTint="BF"/>
        <w:position w:val="3"/>
        <w:sz w:val="10"/>
      </w:rPr>
    </w:lvl>
    <w:lvl w:ilvl="6">
      <w:start w:val="1"/>
      <w:numFmt w:val="none"/>
      <w:lvlText w:val=""/>
      <w:lvlJc w:val="left"/>
      <w:pPr>
        <w:ind w:left="2720" w:hanging="340"/>
      </w:pPr>
      <w:rPr>
        <w:rFonts w:hint="default"/>
        <w:color w:val="404040" w:themeColor="text1" w:themeTint="BF"/>
        <w:position w:val="3"/>
        <w:sz w:val="10"/>
      </w:rPr>
    </w:lvl>
    <w:lvl w:ilvl="7">
      <w:start w:val="1"/>
      <w:numFmt w:val="none"/>
      <w:lvlText w:val=""/>
      <w:lvlJc w:val="left"/>
      <w:pPr>
        <w:ind w:left="3060" w:hanging="340"/>
      </w:pPr>
      <w:rPr>
        <w:rFonts w:hint="default"/>
        <w:color w:val="404040" w:themeColor="text1" w:themeTint="BF"/>
        <w:position w:val="3"/>
        <w:sz w:val="10"/>
      </w:rPr>
    </w:lvl>
    <w:lvl w:ilvl="8">
      <w:start w:val="1"/>
      <w:numFmt w:val="none"/>
      <w:lvlText w:val=""/>
      <w:lvlJc w:val="left"/>
      <w:pPr>
        <w:ind w:left="3400" w:hanging="340"/>
      </w:pPr>
      <w:rPr>
        <w:rFonts w:hint="default"/>
        <w:color w:val="404040" w:themeColor="text1" w:themeTint="BF"/>
        <w:position w:val="3"/>
        <w:sz w:val="10"/>
      </w:r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gutterAtTop/>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33F8B"/>
    <w:rsid w:val="000633AF"/>
    <w:rsid w:val="0007001D"/>
    <w:rsid w:val="00076BB6"/>
    <w:rsid w:val="000831DC"/>
    <w:rsid w:val="00092E6C"/>
    <w:rsid w:val="00134252"/>
    <w:rsid w:val="00176FAE"/>
    <w:rsid w:val="001951EF"/>
    <w:rsid w:val="00235B2E"/>
    <w:rsid w:val="00270CB4"/>
    <w:rsid w:val="00311471"/>
    <w:rsid w:val="003507B9"/>
    <w:rsid w:val="00381EBC"/>
    <w:rsid w:val="003937A7"/>
    <w:rsid w:val="00430729"/>
    <w:rsid w:val="0044444C"/>
    <w:rsid w:val="00500AD1"/>
    <w:rsid w:val="006913D3"/>
    <w:rsid w:val="00766099"/>
    <w:rsid w:val="007721B2"/>
    <w:rsid w:val="00837161"/>
    <w:rsid w:val="00860C47"/>
    <w:rsid w:val="00902AEA"/>
    <w:rsid w:val="009B4121"/>
    <w:rsid w:val="009D034C"/>
    <w:rsid w:val="00A650C6"/>
    <w:rsid w:val="00A8635E"/>
    <w:rsid w:val="00A9209D"/>
    <w:rsid w:val="00BF6F3F"/>
    <w:rsid w:val="00C63FD8"/>
    <w:rsid w:val="00CD482F"/>
    <w:rsid w:val="00D624ED"/>
    <w:rsid w:val="00DC7693"/>
    <w:rsid w:val="00DD149F"/>
    <w:rsid w:val="00DE78B9"/>
    <w:rsid w:val="00E214CB"/>
    <w:rsid w:val="00E71BF2"/>
    <w:rsid w:val="00EC3566"/>
    <w:rsid w:val="00F03E65"/>
    <w:rsid w:val="00F14F6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248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8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9B4121"/>
    <w:pPr>
      <w:keepNext/>
      <w:spacing w:before="180" w:after="60"/>
      <w:outlineLvl w:val="0"/>
    </w:pPr>
    <w:rPr>
      <w:rFonts w:eastAsiaTheme="majorEastAsia" w:cs="Arial"/>
      <w:b/>
      <w:bCs/>
      <w:color w:val="000000" w:themeColor="text1"/>
      <w:sz w:val="24"/>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9B4121"/>
    <w:rPr>
      <w:rFonts w:ascii="Arial" w:eastAsiaTheme="majorEastAsia" w:hAnsi="Arial" w:cs="Arial"/>
      <w:b/>
      <w:bCs/>
      <w:color w:val="000000" w:themeColor="text1"/>
    </w:rPr>
  </w:style>
  <w:style w:type="character" w:customStyle="1" w:styleId="Heading2Char">
    <w:name w:val="Heading 2 Char"/>
    <w:aliases w:val="VA Header 2 Char"/>
    <w:basedOn w:val="DefaultParagraphFont"/>
    <w:link w:val="Heading2"/>
    <w:uiPriority w:val="1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1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customStyle="1" w:styleId="Bullet">
    <w:name w:val="Bullet"/>
    <w:basedOn w:val="Normal"/>
    <w:link w:val="BulletChar"/>
    <w:uiPriority w:val="2"/>
    <w:rsid w:val="001951EF"/>
    <w:pPr>
      <w:numPr>
        <w:numId w:val="4"/>
      </w:numPr>
      <w:suppressAutoHyphens/>
      <w:spacing w:after="120"/>
    </w:pPr>
    <w:rPr>
      <w:rFonts w:eastAsia="Times New Roman" w:cs="Times New Roman"/>
      <w:sz w:val="24"/>
      <w:szCs w:val="19"/>
      <w:lang w:eastAsia="en-AU"/>
    </w:rPr>
  </w:style>
  <w:style w:type="character" w:customStyle="1" w:styleId="BulletChar">
    <w:name w:val="Bullet Char"/>
    <w:basedOn w:val="DefaultParagraphFont"/>
    <w:link w:val="Bullet"/>
    <w:uiPriority w:val="2"/>
    <w:rsid w:val="001951EF"/>
    <w:rPr>
      <w:rFonts w:ascii="Arial" w:eastAsia="Times New Roman" w:hAnsi="Arial" w:cs="Times New Roman"/>
      <w:szCs w:val="19"/>
      <w:lang w:eastAsia="en-AU"/>
    </w:rPr>
  </w:style>
  <w:style w:type="character" w:styleId="Hyperlink">
    <w:name w:val="Hyperlink"/>
    <w:basedOn w:val="DefaultParagraphFont"/>
    <w:uiPriority w:val="89"/>
    <w:semiHidden/>
    <w:rsid w:val="001951EF"/>
    <w:rPr>
      <w:color w:val="auto"/>
      <w:u w:val="single"/>
    </w:rPr>
  </w:style>
  <w:style w:type="table" w:customStyle="1" w:styleId="NousTable">
    <w:name w:val="Nous Table"/>
    <w:basedOn w:val="TableNormal"/>
    <w:uiPriority w:val="99"/>
    <w:rsid w:val="001951EF"/>
    <w:rPr>
      <w:rFonts w:eastAsia="Times New Roman"/>
      <w:sz w:val="22"/>
      <w:szCs w:val="22"/>
      <w:lang w:eastAsia="en-AU"/>
    </w:rPr>
    <w:tblPr>
      <w:tblStyleRowBandSize w:val="1"/>
      <w:jc w:val="center"/>
      <w:tblBorders>
        <w:insideH w:val="single" w:sz="4" w:space="0" w:color="95B3D7" w:themeColor="accent1" w:themeTint="99"/>
        <w:insideV w:val="single" w:sz="4" w:space="0" w:color="95B3D7" w:themeColor="accent1" w:themeTint="99"/>
      </w:tblBorders>
    </w:tblPr>
    <w:trPr>
      <w:cantSplit/>
      <w:jc w:val="center"/>
    </w:trPr>
    <w:tcPr>
      <w:tcMar>
        <w:top w:w="57" w:type="dxa"/>
        <w:left w:w="57" w:type="dxa"/>
        <w:bottom w:w="57" w:type="dxa"/>
        <w:right w:w="57" w:type="dxa"/>
      </w:tcMar>
      <w:vAlign w:val="center"/>
    </w:tcPr>
    <w:tblStylePr w:type="firstRow">
      <w:pPr>
        <w:keepNext/>
        <w:wordWrap/>
      </w:pPr>
      <w:rPr>
        <w:b w:val="0"/>
        <w:color w:val="FFFFFF" w:themeColor="background1"/>
      </w:rPr>
      <w:tblPr/>
      <w:trPr>
        <w:tblHeader/>
      </w:trPr>
      <w:tcPr>
        <w:shd w:val="clear" w:color="auto" w:fill="4F81BD" w:themeFill="accent1"/>
      </w:tcPr>
    </w:tblStylePr>
    <w:tblStylePr w:type="lastRow">
      <w:tblPr/>
      <w:tcPr>
        <w:tcBorders>
          <w:top w:val="double" w:sz="4" w:space="0" w:color="4F81BD" w:themeColor="accent1"/>
        </w:tcBorders>
      </w:tcPr>
    </w:tblStylePr>
    <w:tblStylePr w:type="firstCol">
      <w:rPr>
        <w:b w:val="0"/>
        <w:color w:val="FFFFFF" w:themeColor="background1"/>
      </w:rPr>
      <w:tblPr/>
      <w:tcPr>
        <w:shd w:val="clear" w:color="auto" w:fill="4F81BD" w:themeFill="accent1"/>
      </w:tcPr>
    </w:tblStylePr>
    <w:tblStylePr w:type="lastCol">
      <w:tblPr/>
      <w:tcPr>
        <w:tcBorders>
          <w:left w:val="double" w:sz="4"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8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9B4121"/>
    <w:pPr>
      <w:keepNext/>
      <w:spacing w:before="180" w:after="60"/>
      <w:outlineLvl w:val="0"/>
    </w:pPr>
    <w:rPr>
      <w:rFonts w:eastAsiaTheme="majorEastAsia" w:cs="Arial"/>
      <w:b/>
      <w:bCs/>
      <w:color w:val="000000" w:themeColor="text1"/>
      <w:sz w:val="24"/>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9B4121"/>
    <w:rPr>
      <w:rFonts w:ascii="Arial" w:eastAsiaTheme="majorEastAsia" w:hAnsi="Arial" w:cs="Arial"/>
      <w:b/>
      <w:bCs/>
      <w:color w:val="000000" w:themeColor="text1"/>
    </w:rPr>
  </w:style>
  <w:style w:type="character" w:customStyle="1" w:styleId="Heading2Char">
    <w:name w:val="Heading 2 Char"/>
    <w:aliases w:val="VA Header 2 Char"/>
    <w:basedOn w:val="DefaultParagraphFont"/>
    <w:link w:val="Heading2"/>
    <w:uiPriority w:val="1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1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customStyle="1" w:styleId="Bullet">
    <w:name w:val="Bullet"/>
    <w:basedOn w:val="Normal"/>
    <w:link w:val="BulletChar"/>
    <w:uiPriority w:val="2"/>
    <w:rsid w:val="001951EF"/>
    <w:pPr>
      <w:numPr>
        <w:numId w:val="4"/>
      </w:numPr>
      <w:suppressAutoHyphens/>
      <w:spacing w:after="120"/>
    </w:pPr>
    <w:rPr>
      <w:rFonts w:eastAsia="Times New Roman" w:cs="Times New Roman"/>
      <w:sz w:val="24"/>
      <w:szCs w:val="19"/>
      <w:lang w:eastAsia="en-AU"/>
    </w:rPr>
  </w:style>
  <w:style w:type="character" w:customStyle="1" w:styleId="BulletChar">
    <w:name w:val="Bullet Char"/>
    <w:basedOn w:val="DefaultParagraphFont"/>
    <w:link w:val="Bullet"/>
    <w:uiPriority w:val="2"/>
    <w:rsid w:val="001951EF"/>
    <w:rPr>
      <w:rFonts w:ascii="Arial" w:eastAsia="Times New Roman" w:hAnsi="Arial" w:cs="Times New Roman"/>
      <w:szCs w:val="19"/>
      <w:lang w:eastAsia="en-AU"/>
    </w:rPr>
  </w:style>
  <w:style w:type="character" w:styleId="Hyperlink">
    <w:name w:val="Hyperlink"/>
    <w:basedOn w:val="DefaultParagraphFont"/>
    <w:uiPriority w:val="89"/>
    <w:semiHidden/>
    <w:rsid w:val="001951EF"/>
    <w:rPr>
      <w:color w:val="auto"/>
      <w:u w:val="single"/>
    </w:rPr>
  </w:style>
  <w:style w:type="table" w:customStyle="1" w:styleId="NousTable">
    <w:name w:val="Nous Table"/>
    <w:basedOn w:val="TableNormal"/>
    <w:uiPriority w:val="99"/>
    <w:rsid w:val="001951EF"/>
    <w:rPr>
      <w:rFonts w:eastAsia="Times New Roman"/>
      <w:sz w:val="22"/>
      <w:szCs w:val="22"/>
      <w:lang w:eastAsia="en-AU"/>
    </w:rPr>
    <w:tblPr>
      <w:tblStyleRowBandSize w:val="1"/>
      <w:jc w:val="center"/>
      <w:tblBorders>
        <w:insideH w:val="single" w:sz="4" w:space="0" w:color="95B3D7" w:themeColor="accent1" w:themeTint="99"/>
        <w:insideV w:val="single" w:sz="4" w:space="0" w:color="95B3D7" w:themeColor="accent1" w:themeTint="99"/>
      </w:tblBorders>
    </w:tblPr>
    <w:trPr>
      <w:cantSplit/>
      <w:jc w:val="center"/>
    </w:trPr>
    <w:tcPr>
      <w:tcMar>
        <w:top w:w="57" w:type="dxa"/>
        <w:left w:w="57" w:type="dxa"/>
        <w:bottom w:w="57" w:type="dxa"/>
        <w:right w:w="57" w:type="dxa"/>
      </w:tcMar>
      <w:vAlign w:val="center"/>
    </w:tcPr>
    <w:tblStylePr w:type="firstRow">
      <w:pPr>
        <w:keepNext/>
        <w:wordWrap/>
      </w:pPr>
      <w:rPr>
        <w:b w:val="0"/>
        <w:color w:val="FFFFFF" w:themeColor="background1"/>
      </w:rPr>
      <w:tblPr/>
      <w:trPr>
        <w:tblHeader/>
      </w:trPr>
      <w:tcPr>
        <w:shd w:val="clear" w:color="auto" w:fill="4F81BD" w:themeFill="accent1"/>
      </w:tcPr>
    </w:tblStylePr>
    <w:tblStylePr w:type="lastRow">
      <w:tblPr/>
      <w:tcPr>
        <w:tcBorders>
          <w:top w:val="double" w:sz="4" w:space="0" w:color="4F81BD" w:themeColor="accent1"/>
        </w:tcBorders>
      </w:tcPr>
    </w:tblStylePr>
    <w:tblStylePr w:type="firstCol">
      <w:rPr>
        <w:b w:val="0"/>
        <w:color w:val="FFFFFF" w:themeColor="background1"/>
      </w:rPr>
      <w:tblPr/>
      <w:tcPr>
        <w:shd w:val="clear" w:color="auto" w:fill="4F81BD" w:themeFill="accent1"/>
      </w:tcPr>
    </w:tblStylePr>
    <w:tblStylePr w:type="lastCol">
      <w:tblPr/>
      <w:tcPr>
        <w:tcBorders>
          <w:left w:val="double" w:sz="4"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isionaustralia.org/spectacl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info@visionaustrali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C21E3F992344785B13B645D3D569A" ma:contentTypeVersion="0" ma:contentTypeDescription="Create a new document." ma:contentTypeScope="" ma:versionID="f2b513170efb2ecc89859021695ec1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48E8-57E2-4BBB-B6ED-5F5711F6C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060545-C0EF-48AE-90B1-62C4EDABE9CA}">
  <ds:schemaRefs>
    <ds:schemaRef ds:uri="http://schemas.microsoft.com/sharepoint/v3/contenttype/forms"/>
  </ds:schemaRefs>
</ds:datastoreItem>
</file>

<file path=customXml/itemProps3.xml><?xml version="1.0" encoding="utf-8"?>
<ds:datastoreItem xmlns:ds="http://schemas.openxmlformats.org/officeDocument/2006/customXml" ds:itemID="{E5A23D50-89E8-4E05-BF23-09348C8F3DB8}">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CAA1EA6-337C-408C-84BB-DACF9BDB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2016-12-15T06:22:00Z</dcterms:created>
  <dcterms:modified xsi:type="dcterms:W3CDTF">2017-01-09T22:37:00Z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0x01010092FC21E3F992344785B13B645D3D569A</vt:lpwstr>
  </property>
</Properties>
</file>